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宋体" w:hAnsi="宋体" w:eastAsia="宋体" w:cs="宋体"/>
          <w:sz w:val="44"/>
          <w:szCs w:val="44"/>
        </w:rPr>
      </w:pPr>
      <w:bookmarkStart w:id="0" w:name="_GoBack"/>
      <w:r>
        <w:rPr>
          <w:rFonts w:hint="eastAsia" w:ascii="宋体" w:hAnsi="宋体" w:cs="宋体"/>
          <w:sz w:val="44"/>
          <w:szCs w:val="44"/>
          <w:lang w:eastAsia="zh-CN"/>
        </w:rPr>
        <w:t>泸</w:t>
      </w:r>
      <w:r>
        <w:rPr>
          <w:rFonts w:hint="eastAsia" w:ascii="宋体" w:hAnsi="宋体" w:eastAsia="宋体" w:cs="宋体"/>
          <w:sz w:val="44"/>
          <w:szCs w:val="44"/>
        </w:rPr>
        <w:t>县20</w:t>
      </w:r>
      <w:r>
        <w:rPr>
          <w:rFonts w:hint="eastAsia" w:ascii="宋体" w:hAnsi="宋体" w:cs="宋体"/>
          <w:sz w:val="44"/>
          <w:szCs w:val="44"/>
          <w:lang w:val="en-US" w:eastAsia="zh-CN"/>
        </w:rPr>
        <w:t>21</w:t>
      </w:r>
      <w:r>
        <w:rPr>
          <w:rFonts w:hint="eastAsia" w:ascii="宋体" w:hAnsi="宋体" w:eastAsia="宋体" w:cs="宋体"/>
          <w:sz w:val="44"/>
          <w:szCs w:val="44"/>
        </w:rPr>
        <w:t>年</w:t>
      </w:r>
      <w:r>
        <w:rPr>
          <w:rFonts w:hint="eastAsia" w:ascii="宋体" w:hAnsi="宋体" w:cs="宋体"/>
          <w:sz w:val="44"/>
          <w:szCs w:val="44"/>
          <w:lang w:val="en-US" w:eastAsia="zh-CN"/>
        </w:rPr>
        <w:t>地方政府债务情况</w:t>
      </w:r>
      <w:r>
        <w:rPr>
          <w:rFonts w:hint="eastAsia" w:ascii="宋体" w:hAnsi="宋体" w:eastAsia="宋体" w:cs="宋体"/>
          <w:sz w:val="44"/>
          <w:szCs w:val="44"/>
        </w:rPr>
        <w:t>说明</w:t>
      </w:r>
    </w:p>
    <w:bookmarkEnd w:id="0"/>
    <w:p>
      <w:pPr>
        <w:rPr>
          <w:rFonts w:hint="eastAsia"/>
          <w:sz w:val="32"/>
          <w:szCs w:val="32"/>
        </w:rPr>
      </w:pPr>
    </w:p>
    <w:p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2021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年，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泸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县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地方政府债务情况如下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:</w:t>
      </w:r>
    </w:p>
    <w:p>
      <w:pPr>
        <w:ind w:firstLine="640" w:firstLineChars="200"/>
        <w:rPr>
          <w:rFonts w:hint="default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(一)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债务限额及余额情况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。20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21年末泸县地方政府一般债务限额为322628万元，一般债务余额为322628万元；专项债务限额为583377万元，专项债务余额为568177万元。</w:t>
      </w:r>
    </w:p>
    <w:p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(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二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)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债券发行情况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。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2021年省财政厅转贷我县新增一般债券资金12600万元，新增专项债券资金148700万元，新增再融资一般债券资金46445万元，新增再融资专项债券10650万元。</w:t>
      </w:r>
    </w:p>
    <w:p>
      <w:pPr>
        <w:ind w:firstLine="640" w:firstLineChars="200"/>
        <w:rPr>
          <w:rFonts w:hint="default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(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三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)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还本付息情况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。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2021年泸县地方政府债券到期还本金额为72295万元，其中57095万元通过再融资债券偿还，15200万元通过县本级财力偿还；到期付息金额为26786万元，全部由县本级财力偿还。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UwODhhY2VmODYyNzQ2YjFiOTFiYmM3MWExZmZiZjIifQ=="/>
  </w:docVars>
  <w:rsids>
    <w:rsidRoot w:val="34783DB9"/>
    <w:rsid w:val="34783D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19</TotalTime>
  <ScaleCrop>false</ScaleCrop>
  <LinksUpToDate>false</LinksUpToDate>
  <CharactersWithSpaces>0</CharactersWithSpaces>
  <Application>WPS Office_12.1.0.15358_F1E327BC-269C-435d-A152-05C5408002CA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2023-09-18T07:49:00Z</dcterms:created>
  <dc:creator>Pepper</dc:creator>
  <cp:lastModifiedBy>Pepper</cp:lastModifiedBy>
  <cp:lastPrinted>2023-09-18T08:08:40Z</cp:lastPrinted>
  <dcterms:modified xsi:type="dcterms:W3CDTF">2023-09-18T08:17:04Z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2052-12.1.0.15358</vt:lpwstr>
  </property>
  <property fmtid="{D5CDD505-2E9C-101B-9397-08002B2CF9AE}" pid="3" name="ICV">
    <vt:lpwstr>FC197499ECBE4ED09FDE4AE606A8E34F_11</vt:lpwstr>
  </property>
</Properties>
</file>